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spacing w:before="127" w:lineRule="auto" w:line="278"/>
        <w:ind w:left="77" w:right="66"/>
        <w:rPr>
          <w:b/>
          <w:bCs/>
          <w:sz w:val="15"/>
        </w:rPr>
      </w:pPr>
    </w:p>
    <w:tbl>
      <w:tblPr>
        <w:tblW w:w="10980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1729"/>
        <w:gridCol w:w="7436"/>
        <w:gridCol w:w="846"/>
      </w:tblGrid>
      <w:tr>
        <w:trPr>
          <w:trHeight w:val="368" w:hRule="atLeast"/>
        </w:trPr>
        <w:tc>
          <w:tcPr>
            <w:tcW w:w="10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4098"/>
              <w:spacing w:before="127" w:lineRule="auto" w:line="278"/>
              <w:ind w:left="77" w:right="66"/>
              <w:rPr>
                <w:b/>
                <w:bCs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lang w:eastAsia="zh-CN"/>
              </w:rPr>
              <w:t>第十二届“工行杯”湖北省大学生经济学术研讨会暨论文征集大赛决赛作品信息</w:t>
            </w:r>
          </w:p>
        </w:tc>
      </w:tr>
      <w:tr>
        <w:tblPrEx/>
        <w:trPr>
          <w:trHeight w:val="334" w:hRule="atLeast"/>
        </w:trPr>
        <w:tc>
          <w:tcPr>
            <w:tcW w:w="484" w:type="dxa"/>
            <w:tcBorders>
              <w:top w:val="single" w:sz="4" w:space="0" w:color="auto"/>
            </w:tcBorders>
          </w:tcPr>
          <w:p>
            <w:pPr>
              <w:pStyle w:val="style4098"/>
              <w:spacing w:before="116"/>
              <w:ind w:left="0"/>
              <w:rPr>
                <w:sz w:val="16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序号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4098"/>
              <w:spacing w:before="127" w:lineRule="auto" w:line="278"/>
              <w:ind w:left="77" w:right="6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研究生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>
            <w:pPr>
              <w:pStyle w:val="style4098"/>
              <w:ind w:left="0"/>
              <w:rPr>
                <w:sz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学校</w:t>
            </w:r>
          </w:p>
        </w:tc>
        <w:tc>
          <w:tcPr>
            <w:tcW w:w="7436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/>
              <w:rPr>
                <w:sz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篇名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4098"/>
              <w:ind w:left="0"/>
              <w:rPr>
                <w:b/>
                <w:bCs/>
                <w:sz w:val="15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lang w:eastAsia="zh-CN"/>
              </w:rPr>
              <w:t>分会场</w:t>
            </w: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0"/>
              <w:ind w:right="19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河北大学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Analysis of Hebei Province's Economic Vitality and Its Influencing Factors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研究生</w:t>
            </w:r>
          </w:p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第一会场</w:t>
            </w: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1"/>
              <w:ind w:right="19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广西大学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家庭金融文化、认知偏差与金融资产选择——来自CFPS数据的经验分析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西南财经大学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家庭资本与农户收入：基于信贷行为的视角分析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西南财经大学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出生地城市，成长环境与个体未来收入水平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兰州财经大学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甘肃省县域经济发展时空格局演变研究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2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化肥减量替代：农户的策略选择与影响因素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中国城镇居民家庭住房不平等测度及其影响因素分析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安徽财经大学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市场分割是否影响了OFDI逆向技术溢出的创新效应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集聚外部性、交互效应与中国农产品加工业增长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绿色生产技术与农业技术效率——以中国农作物秸秆能源化利用为例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绿色防控技术的节本增收效应分析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华中科技大学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金融深化对城乡居民消费水平及消费结构的影响分析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环境规制、环境认知与农户村</w:t>
            </w:r>
            <w:r>
              <w:rPr>
                <w:rFonts w:hint="eastAsia"/>
                <w:sz w:val="13"/>
                <w:szCs w:val="13"/>
                <w:lang w:eastAsia="zh-CN"/>
              </w:rPr>
              <w:t>域环境</w:t>
            </w:r>
            <w:r>
              <w:rPr>
                <w:rFonts w:hint="eastAsia"/>
                <w:sz w:val="13"/>
                <w:szCs w:val="13"/>
                <w:lang w:eastAsia="zh-CN"/>
              </w:rPr>
              <w:t>治理参与意愿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含时间</w:t>
            </w:r>
            <w:r>
              <w:rPr>
                <w:rFonts w:hint="eastAsia"/>
                <w:sz w:val="13"/>
                <w:szCs w:val="13"/>
                <w:lang w:eastAsia="zh-CN"/>
              </w:rPr>
              <w:t>幂</w:t>
            </w:r>
            <w:r>
              <w:rPr>
                <w:rFonts w:hint="eastAsia"/>
                <w:sz w:val="13"/>
                <w:szCs w:val="13"/>
                <w:lang w:eastAsia="zh-CN"/>
              </w:rPr>
              <w:t>次项的灰色伯努利模型在信贷规模中的预测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就业创造、溢出与反馈：增加值视角下的区域就业关联测算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研究生</w:t>
            </w:r>
          </w:p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第二会场</w:t>
            </w: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安徽财经大学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中国对一带</w:t>
            </w:r>
            <w:r>
              <w:rPr>
                <w:rFonts w:hint="eastAsia"/>
                <w:sz w:val="13"/>
                <w:szCs w:val="13"/>
                <w:lang w:eastAsia="zh-CN"/>
              </w:rPr>
              <w:t>一路国家</w:t>
            </w:r>
            <w:r>
              <w:rPr>
                <w:rFonts w:hint="eastAsia"/>
                <w:sz w:val="13"/>
                <w:szCs w:val="13"/>
                <w:lang w:eastAsia="zh-CN"/>
              </w:rPr>
              <w:t>出口关系生存率研究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高</w:t>
            </w:r>
            <w:r>
              <w:rPr>
                <w:rFonts w:hint="eastAsia"/>
                <w:sz w:val="13"/>
                <w:szCs w:val="13"/>
                <w:lang w:eastAsia="zh-CN"/>
              </w:rPr>
              <w:t>管海外</w:t>
            </w:r>
            <w:r>
              <w:rPr>
                <w:rFonts w:hint="eastAsia"/>
                <w:sz w:val="13"/>
                <w:szCs w:val="13"/>
                <w:lang w:eastAsia="zh-CN"/>
              </w:rPr>
              <w:t>背景、技术创新与就业效应基于海</w:t>
            </w:r>
            <w:r>
              <w:rPr>
                <w:rFonts w:hint="eastAsia"/>
                <w:sz w:val="13"/>
                <w:szCs w:val="13"/>
                <w:lang w:eastAsia="zh-CN"/>
              </w:rPr>
              <w:t>归高管类化作</w:t>
            </w:r>
            <w:r>
              <w:rPr>
                <w:rFonts w:hint="eastAsia"/>
                <w:sz w:val="13"/>
                <w:szCs w:val="13"/>
                <w:lang w:eastAsia="zh-CN"/>
              </w:rPr>
              <w:t>用的门槛模型检验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广西大学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外部性和内生性视域下我国科技投入绩效</w:t>
            </w:r>
            <w:r>
              <w:rPr>
                <w:rFonts w:hint="eastAsia"/>
                <w:sz w:val="13"/>
                <w:szCs w:val="13"/>
              </w:rPr>
              <w:t>——</w:t>
            </w:r>
            <w:r>
              <w:rPr>
                <w:rFonts w:hint="eastAsia"/>
                <w:sz w:val="13"/>
                <w:szCs w:val="13"/>
              </w:rPr>
              <w:t>基于政府与市场的比较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FDI技术溢出理论视角下双元创新驱动的制造业服务化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动态能力如何影响中小型农产品电商企业绩效？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武汉理工大</w:t>
            </w:r>
            <w:r>
              <w:rPr>
                <w:rFonts w:hint="eastAsia"/>
                <w:sz w:val="13"/>
                <w:szCs w:val="13"/>
              </w:rPr>
              <w:t>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反馈寻求、双元创新对制造业服务化的影响机制研究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研发投入结构对高质量创新的影响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基于Lasso-Logistic模型的产业资本举牌预测研究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数字普惠金融能否促进农业机械化？——基于农机作业服务市场发展的视角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4098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 xml:space="preserve">Does outsourcing for crop disease and pest control reduce arable land </w:t>
            </w:r>
            <w:r>
              <w:rPr>
                <w:rFonts w:hint="eastAsia"/>
                <w:sz w:val="13"/>
                <w:szCs w:val="13"/>
                <w:lang w:eastAsia="zh-CN"/>
              </w:rPr>
              <w:t>abandonment_Evidence</w:t>
            </w:r>
            <w:r>
              <w:rPr>
                <w:rFonts w:hint="eastAsia"/>
                <w:sz w:val="13"/>
                <w:szCs w:val="13"/>
                <w:lang w:eastAsia="zh-CN"/>
              </w:rPr>
              <w:t xml:space="preserve"> from China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华中科技大学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城市群政策是否助推高质量发展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金融支持绿色产业发展效率评价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4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8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13"/>
                <w:szCs w:val="13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武汉理工大学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财政分权背景下中国省际科技与金融耦合效率探究</w:t>
            </w:r>
          </w:p>
        </w:tc>
        <w:tc>
          <w:tcPr>
            <w:tcW w:w="846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</w:tbl>
    <w:p/>
    <w:tbl>
      <w:tblPr>
        <w:tblStyle w:val="style154"/>
        <w:tblpPr w:leftFromText="180" w:rightFromText="180" w:topFromText="0" w:bottomFromText="0" w:vertAnchor="text" w:tblpX="11791" w:tblpY="-9363"/>
        <w:tblOverlap w:val="never"/>
        <w:tblW w:w="1020" w:type="dxa"/>
        <w:tblLayout w:type="fixed"/>
        <w:tblLook w:val="04A0" w:firstRow="1" w:lastRow="0" w:firstColumn="1" w:lastColumn="0" w:noHBand="0" w:noVBand="1"/>
      </w:tblPr>
      <w:tblGrid>
        <w:gridCol w:w="1020"/>
      </w:tblGrid>
      <w:tr>
        <w:trPr>
          <w:trHeight w:val="30" w:hRule="atLeast"/>
        </w:trPr>
        <w:tc>
          <w:tcPr>
            <w:tcW w:w="1020" w:type="dxa"/>
            <w:tcBorders/>
          </w:tcPr>
          <w:p>
            <w:pPr>
              <w:pStyle w:val="style0"/>
              <w:rPr>
                <w:sz w:val="13"/>
                <w:szCs w:val="13"/>
                <w:lang w:eastAsia="zh-CN"/>
              </w:rPr>
            </w:pPr>
          </w:p>
        </w:tc>
      </w:tr>
    </w:tbl>
    <w:p>
      <w:pPr>
        <w:pStyle w:val="style0"/>
        <w:rPr>
          <w:sz w:val="13"/>
          <w:szCs w:val="13"/>
          <w:lang w:eastAsia="zh-CN"/>
        </w:rPr>
        <w:sectPr>
          <w:footerReference w:type="default" r:id="rId2"/>
          <w:type w:val="continuous"/>
          <w:pgSz w:w="11910" w:h="16840" w:orient="portrait"/>
          <w:pgMar w:top="227" w:right="210" w:bottom="170" w:left="227" w:header="720" w:footer="720" w:gutter="0"/>
          <w:cols w:equalWidth="0" w:space="720">
            <w:col w:w="11870"/>
          </w:cols>
        </w:sectPr>
      </w:pPr>
    </w:p>
    <w:tbl>
      <w:tblPr>
        <w:tblpPr w:leftFromText="180" w:rightFromText="180" w:topFromText="0" w:bottomFromText="0" w:horzAnchor="margin" w:tblpXSpec="center" w:tblpY="-862"/>
        <w:tblW w:w="10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84"/>
        <w:gridCol w:w="1729"/>
        <w:gridCol w:w="7503"/>
        <w:gridCol w:w="780"/>
      </w:tblGrid>
      <w:tr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</w:p>
          <w:p>
            <w:pPr>
              <w:pStyle w:val="style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</w:t>
            </w:r>
          </w:p>
          <w:p>
            <w:pPr>
              <w:pStyle w:val="style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</w:t>
            </w: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武汉工程大学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退耕还林对农民幸福感的影响及作用机制——基于CLDS数据的实证分析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本科生</w:t>
            </w:r>
          </w:p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第一会场</w:t>
            </w: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vMerge w:val="continue"/>
            <w:tcBorders/>
          </w:tcPr>
          <w:p>
            <w:pPr>
              <w:pStyle w:val="style0"/>
              <w:jc w:val="center"/>
              <w:rPr>
                <w:lang w:eastAsia="zh-CN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东北财经大学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/>
              </w:rPr>
              <w:t>Empirical test of financial social security expenditure, income distribution and economic growth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  <w:vMerge w:val="continue"/>
            <w:tcBorders/>
          </w:tcPr>
          <w:p>
            <w:pPr>
              <w:pStyle w:val="style0"/>
              <w:jc w:val="center"/>
              <w:rPr>
                <w:lang w:eastAsia="zh-CN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A study on the vitality of regional economy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vMerge w:val="continue"/>
            <w:tcBorders/>
          </w:tcPr>
          <w:p>
            <w:pPr>
              <w:pStyle w:val="style0"/>
              <w:jc w:val="center"/>
              <w:rPr>
                <w:lang w:eastAsia="zh-CN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left="0" w:right="24"/>
              <w:rPr>
                <w:sz w:val="13"/>
                <w:szCs w:val="13"/>
                <w:highlight w:val="yellow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农村老龄化</w:t>
            </w:r>
            <w:r>
              <w:rPr>
                <w:rFonts w:hint="eastAsia"/>
                <w:sz w:val="13"/>
                <w:szCs w:val="13"/>
                <w:lang w:eastAsia="zh-CN"/>
              </w:rPr>
              <w:t>下风险</w:t>
            </w:r>
            <w:r>
              <w:rPr>
                <w:rFonts w:hint="eastAsia"/>
                <w:sz w:val="13"/>
                <w:szCs w:val="13"/>
                <w:lang w:eastAsia="zh-CN"/>
              </w:rPr>
              <w:t>厌恶，人际关系与农户化学品施用行为分析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4" w:type="dxa"/>
            <w:vMerge w:val="continue"/>
            <w:tcBorders/>
          </w:tcPr>
          <w:p>
            <w:pPr>
              <w:pStyle w:val="style0"/>
              <w:jc w:val="center"/>
              <w:rPr>
                <w:lang w:eastAsia="zh-CN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/>
              </w:rPr>
              <w:t>聊城大学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/>
              </w:rPr>
              <w:t>“老来伴”对老人健康的效应研究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4" w:type="dxa"/>
            <w:vMerge w:val="continue"/>
            <w:tcBorders/>
          </w:tcPr>
          <w:p>
            <w:pPr>
              <w:pStyle w:val="style0"/>
              <w:jc w:val="center"/>
              <w:rPr>
                <w:lang w:eastAsia="zh-CN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广东外语外贸大学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“脱贫之殇”：为何存在脱贫又返贫现象？——脆弱性脱贫理论构建及验证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ind w:firstLine="248"/>
              <w:jc w:val="center"/>
              <w:rPr>
                <w:lang w:eastAsia="zh-CN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57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我国高校</w:t>
            </w:r>
            <w:r>
              <w:rPr>
                <w:rFonts w:hint="eastAsia"/>
                <w:sz w:val="13"/>
                <w:szCs w:val="13"/>
                <w:lang w:eastAsia="zh-CN"/>
              </w:rPr>
              <w:t>学分绩点制</w:t>
            </w:r>
            <w:r>
              <w:rPr>
                <w:rFonts w:hint="eastAsia"/>
                <w:sz w:val="13"/>
                <w:szCs w:val="13"/>
                <w:lang w:eastAsia="zh-CN"/>
              </w:rPr>
              <w:t>异同与教育公平之探讨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0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中南政法财经大学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“以房抢人”政策、产业结构升级与区域经济发展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51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聊城大学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代际经济支持对老人健康的效应研究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中南</w:t>
            </w:r>
            <w:r>
              <w:rPr>
                <w:rFonts w:hint="eastAsia"/>
                <w:sz w:val="13"/>
                <w:szCs w:val="13"/>
                <w:lang w:eastAsia="zh-CN"/>
              </w:rPr>
              <w:t>财经政法</w:t>
            </w:r>
            <w:r>
              <w:rPr>
                <w:rFonts w:hint="eastAsia"/>
                <w:sz w:val="13"/>
                <w:szCs w:val="13"/>
                <w:lang w:eastAsia="zh-CN"/>
              </w:rPr>
              <w:t>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宏观经济环境与分析师评级变动价值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中南</w:t>
            </w:r>
            <w:r>
              <w:rPr>
                <w:rFonts w:hint="eastAsia"/>
                <w:sz w:val="13"/>
                <w:szCs w:val="13"/>
                <w:lang w:eastAsia="zh-CN"/>
              </w:rPr>
              <w:t>财经政法</w:t>
            </w:r>
            <w:r>
              <w:rPr>
                <w:rFonts w:hint="eastAsia"/>
                <w:sz w:val="13"/>
                <w:szCs w:val="13"/>
                <w:lang w:eastAsia="zh-CN"/>
              </w:rPr>
              <w:t>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金融背景CEO上任的公告效应和长期价值效应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目标治理下中国式减排的特征与源泉——基于中国首次污染物排放总量控制的分析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区域公共品牌特色农产品价格波动现象调研及其对策研究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环肥还是燕</w:t>
            </w:r>
            <w:r>
              <w:rPr>
                <w:rFonts w:hint="eastAsia"/>
                <w:sz w:val="13"/>
                <w:szCs w:val="13"/>
                <w:lang w:eastAsia="zh-CN"/>
              </w:rPr>
              <w:t>瘦？字体“胖瘦”对消费者行为的影响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color w:val="00000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color w:val="000000"/>
                <w:sz w:val="13"/>
                <w:szCs w:val="13"/>
                <w:lang w:eastAsia="zh-CN"/>
              </w:rPr>
              <w:t>数字经济与区域经济增长的相关性实证研究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Persistent and Transient Efficiency of the Chemical Fertilizer Firms in China Does Ownership Matter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</w:rPr>
              <w:t>中南财经政法大学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电子商务发展、消费结构升级与产业结构优化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本科生</w:t>
            </w:r>
          </w:p>
          <w:p>
            <w:pPr>
              <w:pStyle w:val="style0"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第二会场</w:t>
            </w: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农民工收入：认知能力与非认知能力孰轻孰重？——基于CFPS数据的实证检验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市场一体化能否推动区域经济高质量发展？——基于长三角城市群的空间计量分析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保险——期货模式下最优定价决策问题研究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上海大学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地方债管理新政是否抑制</w:t>
            </w:r>
            <w:r>
              <w:rPr>
                <w:rFonts w:hint="eastAsia"/>
                <w:sz w:val="13"/>
                <w:szCs w:val="13"/>
                <w:lang w:eastAsia="zh-CN"/>
              </w:rPr>
              <w:t>城投债发行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</w:t>
            </w:r>
            <w:r>
              <w:rPr>
                <w:rFonts w:hint="eastAsia"/>
                <w:sz w:val="13"/>
                <w:szCs w:val="13"/>
              </w:rPr>
              <w:t>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房地产供给侧宏观调控的时变反应特征与调控模式选择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武汉理工大学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互联网背景下长三角城市创新空间联系及辐射能力分析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南京邮电大学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智慧城市视阈下城市宜居水平测度与空间差异分析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  <w:vAlign w:val="center"/>
          </w:tcPr>
          <w:p>
            <w:pPr>
              <w:pStyle w:val="style4098"/>
              <w:spacing w:before="0"/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银行异质性、金融监管强度与银行信贷扩张——基于PSTR模型的实证研究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1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国有企业混合所有制改革的出口效应评估及其实现机制研究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《中国OFDI推升了其制造业全球价值链分工地位吗？》国际贸易问题格式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1"/>
              <w:rPr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/>
                <w:sz w:val="13"/>
                <w:szCs w:val="13"/>
              </w:rPr>
              <w:t>湖北经济学院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金融科技普及度、金融素养和金融决策——基于TAR的实证分析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中南财经政法大学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资本市场开放能提高分析师盈余预测精准度吗？——来自沪港通的证据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广东外语外贸大学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农村家庭多为动态性减</w:t>
            </w:r>
            <w:r>
              <w:rPr>
                <w:rFonts w:hint="eastAsia"/>
                <w:sz w:val="13"/>
                <w:szCs w:val="13"/>
                <w:lang w:eastAsia="zh-CN"/>
              </w:rPr>
              <w:t>贫成效</w:t>
            </w:r>
            <w:r>
              <w:rPr>
                <w:rFonts w:hint="eastAsia"/>
                <w:sz w:val="13"/>
                <w:szCs w:val="13"/>
                <w:lang w:eastAsia="zh-CN"/>
              </w:rPr>
              <w:t>测量研究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后危机</w:t>
            </w:r>
            <w:r>
              <w:rPr>
                <w:rFonts w:hint="eastAsia"/>
                <w:sz w:val="13"/>
                <w:szCs w:val="13"/>
                <w:lang w:eastAsia="zh-CN"/>
              </w:rPr>
              <w:t>时代外商直接投资区位选择研究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华中农业大学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“价值创造”抑或“自利工具”？——企业社会责任信息披露与股价同步性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环保考核下的城市高质量发展：顾此失彼还是一举两得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本科生</w:t>
            </w:r>
          </w:p>
          <w:p>
            <w:pPr>
              <w:pStyle w:val="style0"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第三会场</w:t>
            </w:r>
          </w:p>
        </w:tc>
      </w:tr>
      <w:tr>
        <w:tblPrEx/>
        <w:trPr>
          <w:trHeight w:val="32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环境非政府组织促进城市绿色技术创新了吗？——基于非正式环境规制的视角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9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中南</w:t>
            </w:r>
            <w:r>
              <w:rPr>
                <w:rFonts w:hint="eastAsia"/>
                <w:sz w:val="13"/>
                <w:szCs w:val="13"/>
                <w:lang w:eastAsia="zh-CN"/>
              </w:rPr>
              <w:t>财经政法</w:t>
            </w:r>
            <w:r>
              <w:rPr>
                <w:rFonts w:hint="eastAsia"/>
                <w:sz w:val="13"/>
                <w:szCs w:val="13"/>
                <w:lang w:eastAsia="zh-CN"/>
              </w:rPr>
              <w:t>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利用集体建设用地建租赁房对住房租赁市+以武汉东湖高新区为例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5"/>
              <w:ind w:right="2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76923c"/>
                <w:sz w:val="13"/>
                <w:szCs w:val="13"/>
                <w:u w:val="single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“身份”到“职业”的转变大学生农民职业选择意愿的调查研究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武汉理工大学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对外直接投资视角下中美贸易差额加剧的效应分析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334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中南</w:t>
            </w:r>
            <w:r>
              <w:rPr>
                <w:rFonts w:hint="eastAsia"/>
                <w:sz w:val="13"/>
                <w:szCs w:val="13"/>
                <w:lang w:eastAsia="zh-CN"/>
              </w:rPr>
              <w:t>财经政法</w:t>
            </w:r>
            <w:r>
              <w:rPr>
                <w:rFonts w:hint="eastAsia"/>
                <w:sz w:val="13"/>
                <w:szCs w:val="13"/>
                <w:lang w:eastAsia="zh-CN"/>
              </w:rPr>
              <w:t>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纵向财政关系与基层民生性公共品供给：来自</w:t>
            </w:r>
            <w:r>
              <w:rPr>
                <w:rFonts w:hint="eastAsia"/>
                <w:sz w:val="13"/>
                <w:szCs w:val="13"/>
                <w:lang w:eastAsia="zh-CN"/>
              </w:rPr>
              <w:t>”</w:t>
            </w:r>
            <w:r>
              <w:rPr>
                <w:rFonts w:hint="eastAsia"/>
                <w:sz w:val="13"/>
                <w:szCs w:val="13"/>
                <w:lang w:eastAsia="zh-CN"/>
              </w:rPr>
              <w:t>省直管县“的准自然实验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山东财经大学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“海底丝绸之路”构想及实现路径——基于“21世纪”海上丝绸之路“倡议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湖北经济学院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“三乡工程”背景下武汉市黄陂区盘活利用空闲农房发展研究——基于SWOT分析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江西财经大学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外商投资、城乡收入差距及其动态收敛性研究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广东外语外贸大学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开放促升级：自贸区设立对产业结构优化升级政策效应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43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华中师范大学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新型农业经营主体对乡村产业兴旺的影响研究+基于湖北三县九十八村的实地调研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  <w:bottom w:val="nil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44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中南</w:t>
            </w:r>
            <w:r>
              <w:rPr>
                <w:rFonts w:hint="eastAsia"/>
                <w:sz w:val="13"/>
                <w:szCs w:val="13"/>
                <w:lang w:eastAsia="zh-CN"/>
              </w:rPr>
              <w:t>财经政法</w:t>
            </w:r>
            <w:r>
              <w:rPr>
                <w:rFonts w:hint="eastAsia"/>
                <w:sz w:val="13"/>
                <w:szCs w:val="13"/>
                <w:lang w:eastAsia="zh-CN"/>
              </w:rPr>
              <w:t>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控股股东股权质押对信息披露水平的影响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45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东南大学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社会资本与青少年教育期望城乡差异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46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东南大学，华中科技大学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我国劳动者就业能力的分析与评价——基于CGSS（2015）数据的实证研究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485" w:type="dxa"/>
            <w:tcBorders/>
          </w:tcPr>
          <w:p>
            <w:pPr>
              <w:pStyle w:val="style4098"/>
              <w:spacing w:before="68"/>
              <w:ind w:left="11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47</w:t>
            </w:r>
          </w:p>
        </w:tc>
        <w:tc>
          <w:tcPr>
            <w:tcW w:w="48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"/>
                <w:szCs w:val="2"/>
              </w:rPr>
            </w:pPr>
          </w:p>
        </w:tc>
        <w:tc>
          <w:tcPr>
            <w:tcW w:w="1729" w:type="dxa"/>
            <w:tcBorders/>
          </w:tcPr>
          <w:p>
            <w:pPr>
              <w:pStyle w:val="style4098"/>
              <w:spacing w:before="74"/>
              <w:ind w:left="0" w:right="24"/>
              <w:rPr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中南</w:t>
            </w:r>
            <w:r>
              <w:rPr>
                <w:rFonts w:hint="eastAsia"/>
                <w:sz w:val="13"/>
                <w:szCs w:val="13"/>
                <w:lang w:eastAsia="zh-CN"/>
              </w:rPr>
              <w:t>财经政法</w:t>
            </w:r>
            <w:r>
              <w:rPr>
                <w:rFonts w:hint="eastAsia"/>
                <w:sz w:val="13"/>
                <w:szCs w:val="13"/>
                <w:lang w:eastAsia="zh-CN"/>
              </w:rPr>
              <w:t>大学</w:t>
            </w:r>
          </w:p>
        </w:tc>
        <w:tc>
          <w:tcPr>
            <w:tcW w:w="7503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女性受教育水平对二孩生育意愿的影响</w:t>
            </w:r>
            <w:r>
              <w:rPr>
                <w:rFonts w:hint="eastAsia"/>
                <w:sz w:val="13"/>
                <w:szCs w:val="13"/>
              </w:rPr>
              <w:t>——</w:t>
            </w:r>
            <w:r>
              <w:rPr>
                <w:rFonts w:hint="eastAsia"/>
                <w:sz w:val="13"/>
                <w:szCs w:val="13"/>
              </w:rPr>
              <w:t>基于中国综合社会调查（CGSS）数据的研究</w:t>
            </w:r>
          </w:p>
        </w:tc>
        <w:tc>
          <w:tcPr>
            <w:tcW w:w="780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sz w:val="13"/>
                <w:szCs w:val="13"/>
                <w:lang w:eastAsia="zh-CN"/>
              </w:rPr>
            </w:pPr>
          </w:p>
        </w:tc>
      </w:tr>
    </w:tbl>
    <w:p>
      <w:pPr>
        <w:pStyle w:val="style0"/>
        <w:jc w:val="center"/>
        <w:rPr>
          <w:lang w:eastAsia="zh-CN"/>
        </w:rPr>
      </w:pPr>
    </w:p>
    <w:sectPr>
      <w:pgSz w:w="11910" w:h="16840" w:orient="portrait"/>
      <w:pgMar w:top="1580" w:right="40" w:bottom="280" w:left="0" w:header="720" w:footer="720" w:gutter="0"/>
      <w:cols w:equalWidth="0" w:space="720">
        <w:col w:w="11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lang w:eastAsia="zh-CN"/>
      </w:rPr>
    </w:pPr>
    <w:r>
      <w:rPr>
        <w:rFonts w:hint="eastAsia"/>
        <w:lang w:eastAsia="zh-CN"/>
      </w:rPr>
      <w:t>“工行杯”第十二届湖北省大学生经济学术研讨会暨论文征集大赛组委会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</w:pPr>
    <w:rPr>
      <w:rFonts w:ascii="仿宋" w:cs="仿宋" w:eastAsia="仿宋" w:hAnsi="仿宋"/>
      <w:sz w:val="22"/>
      <w:szCs w:val="22"/>
      <w:lang w:bidi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rFonts w:ascii="宋体" w:cs="宋体" w:eastAsia="宋体" w:hAnsi="宋体"/>
      <w:sz w:val="18"/>
      <w:szCs w:val="18"/>
    </w:rPr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31">
    <w:name w:val="header"/>
    <w:basedOn w:val="style0"/>
    <w:next w:val="style31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jc w:val="both"/>
    </w:pPr>
    <w:rPr>
      <w:sz w:val="18"/>
    </w:rPr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>
      <w:spacing w:before="56"/>
      <w:ind w:left="29"/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F2247-69A8-47F6-8A42-8BA05232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Words>2370</Words>
  <Pages>3</Pages>
  <Characters>2817</Characters>
  <Application>WPS Office</Application>
  <DocSecurity>0</DocSecurity>
  <Paragraphs>473</Paragraphs>
  <ScaleCrop>false</ScaleCrop>
  <Company>China</Company>
  <LinksUpToDate>false</LinksUpToDate>
  <CharactersWithSpaces>2870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2020-07-23T09:57:00Z</dcterms:created>
  <dc:creator>恩宁</dc:creator>
  <lastModifiedBy>PAAM00</lastModifiedBy>
  <dcterms:modified xsi:type="dcterms:W3CDTF">2020-08-25T09:45:26Z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2052-11.1.0.9912</vt:lpwstr>
  </property>
</Properties>
</file>